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1A" w:rsidRDefault="0087011A">
      <w:r>
        <w:t>Scope: This manual and the TS16949:200</w:t>
      </w:r>
      <w:r w:rsidR="00F90555">
        <w:t>9</w:t>
      </w:r>
      <w:r>
        <w:t xml:space="preserve"> / ISO14001:2004 system that it represents are applicable to all Quality Management Systems / Environmental Management Systems requirements for the sites identified.  Where the responsibility of the activity extends beyond that site, the responsibility and requirements of this QMS / </w:t>
      </w:r>
      <w:smartTag w:uri="urn:schemas-microsoft-com:office:smarttags" w:element="place">
        <w:r>
          <w:t>EMS</w:t>
        </w:r>
      </w:smartTag>
      <w:r>
        <w:t xml:space="preserve"> are also extended.</w:t>
      </w:r>
    </w:p>
    <w:p w:rsidR="00953D83" w:rsidRDefault="00953D83"/>
    <w:p w:rsidR="009F738C" w:rsidRDefault="009F738C">
      <w:r>
        <w:t>Windsor Machine &amp; Stamping (2009)</w:t>
      </w:r>
      <w:r w:rsidR="00F90555">
        <w:t xml:space="preserve"> Ltd</w:t>
      </w:r>
      <w:r>
        <w:t xml:space="preserve"> </w:t>
      </w:r>
      <w:r w:rsidR="00934D98">
        <w:t xml:space="preserve">(Corporate) </w:t>
      </w:r>
      <w:r>
        <w:t>– Procurement of sa</w:t>
      </w:r>
      <w:r w:rsidR="00934D98">
        <w:t>les, marketing,</w:t>
      </w:r>
      <w:r>
        <w:t xml:space="preserve"> purchasing</w:t>
      </w:r>
      <w:r w:rsidR="00934D98">
        <w:t xml:space="preserve"> and d</w:t>
      </w:r>
      <w:r>
        <w:t>esign, engineering, prototype development, CMM inspection/gauge validation and machine/ gauge manufacturing.</w:t>
      </w:r>
    </w:p>
    <w:p w:rsidR="009F738C" w:rsidRDefault="009F738C">
      <w:r>
        <w:br/>
        <w:t>G&amp;R Plant 1 – Manufacturer of wire products as well as mechanized assemblies.</w:t>
      </w:r>
    </w:p>
    <w:p w:rsidR="009F738C" w:rsidRDefault="009F738C"/>
    <w:p w:rsidR="009F738C" w:rsidRDefault="009F738C">
      <w:r>
        <w:t>G&amp;R Plant 3 – Manufacturer of wire products, foam, trim and mechanized assemblies</w:t>
      </w:r>
      <w:r w:rsidR="008B2BA6">
        <w:t>.</w:t>
      </w:r>
    </w:p>
    <w:p w:rsidR="008B2BA6" w:rsidRDefault="008B2BA6"/>
    <w:p w:rsidR="009F738C" w:rsidRDefault="008B2BA6">
      <w:r>
        <w:t>G&amp;R Plant 4 – Manufacturer of wire products as well as mechanized assemblies.</w:t>
      </w:r>
    </w:p>
    <w:p w:rsidR="008B2BA6" w:rsidRDefault="008B2BA6"/>
    <w:p w:rsidR="009F738C" w:rsidRDefault="009F738C">
      <w:r>
        <w:t>Wind</w:t>
      </w:r>
      <w:r w:rsidR="00F90555">
        <w:t>sor Machine &amp; Stamping (US) Ltd</w:t>
      </w:r>
      <w:r>
        <w:t xml:space="preserve"> – Manufacturer of wire products as well as packaging and distribution of </w:t>
      </w:r>
      <w:r w:rsidR="00E4079C">
        <w:t>other internal product.</w:t>
      </w:r>
    </w:p>
    <w:p w:rsidR="00E4079C" w:rsidRDefault="00E4079C"/>
    <w:p w:rsidR="00E4079C" w:rsidRDefault="00E4079C">
      <w:r>
        <w:t xml:space="preserve">Windsor Machine de Mexico – Manufacturer of tube </w:t>
      </w:r>
      <w:r w:rsidR="00DC0D67">
        <w:t xml:space="preserve">/wire </w:t>
      </w:r>
      <w:r>
        <w:t>products</w:t>
      </w:r>
      <w:r w:rsidR="00DC0D67">
        <w:t>, polyurethane foam</w:t>
      </w:r>
      <w:r>
        <w:t xml:space="preserve"> and mechanized assemblies.</w:t>
      </w:r>
    </w:p>
    <w:p w:rsidR="0087011A" w:rsidRDefault="0087011A"/>
    <w:p w:rsidR="008B2BA6" w:rsidRDefault="008B2BA6" w:rsidP="008B2BA6">
      <w:r>
        <w:t>Windsor Machine Indiana – Manufacturer of wire products as well as mechanized assemblies.</w:t>
      </w:r>
    </w:p>
    <w:p w:rsidR="008B2BA6" w:rsidRDefault="008B2BA6" w:rsidP="008B2BA6"/>
    <w:p w:rsidR="0040761D" w:rsidRDefault="0040761D"/>
    <w:p w:rsidR="0040761D" w:rsidRDefault="0040761D"/>
    <w:p w:rsidR="0087011A" w:rsidRDefault="0087011A">
      <w:r>
        <w:t xml:space="preserve">Application:  WINDSOR MACHINE GROUP is an organization of diverse and broad ranging activities and plants.  This manual and the Quality Management System /Environmental Management Systems identified specifically cover the organizations, and those activities under control, as identified.  References and Definitions are included under this scope. </w:t>
      </w:r>
    </w:p>
    <w:p w:rsidR="0087011A" w:rsidRDefault="0087011A"/>
    <w:p w:rsidR="0087011A" w:rsidRDefault="0087011A">
      <w:r>
        <w:rPr>
          <w:b/>
        </w:rPr>
        <w:t>Quality Policy</w:t>
      </w:r>
      <w:r>
        <w:t>:</w:t>
      </w:r>
    </w:p>
    <w:p w:rsidR="0087011A" w:rsidRDefault="0087011A"/>
    <w:p w:rsidR="0087011A" w:rsidRDefault="0087011A">
      <w:r>
        <w:t xml:space="preserve">Windsor Machine Group establishes and reviews measurable objectives to continuously improve its business systems, products, processes and delivery performance to better satisfy the needs and expectations of its customers.   </w:t>
      </w:r>
    </w:p>
    <w:p w:rsidR="0087011A" w:rsidRDefault="0087011A"/>
    <w:p w:rsidR="0087011A" w:rsidRDefault="0087011A"/>
    <w:p w:rsidR="0087011A" w:rsidRDefault="0087011A"/>
    <w:p w:rsidR="0087011A" w:rsidRDefault="0087011A"/>
    <w:p w:rsidR="0087011A" w:rsidRDefault="0087011A"/>
    <w:p w:rsidR="00DC0D67" w:rsidRDefault="00DC0D67">
      <w:pPr>
        <w:rPr>
          <w:b/>
        </w:rPr>
      </w:pPr>
    </w:p>
    <w:p w:rsidR="0087011A" w:rsidRDefault="0087011A">
      <w:pPr>
        <w:rPr>
          <w:b/>
        </w:rPr>
      </w:pPr>
      <w:r>
        <w:rPr>
          <w:b/>
        </w:rPr>
        <w:t xml:space="preserve">Environmental Policy: </w:t>
      </w:r>
    </w:p>
    <w:p w:rsidR="0087011A" w:rsidRDefault="0087011A">
      <w:r>
        <w:t xml:space="preserve">  </w:t>
      </w:r>
    </w:p>
    <w:p w:rsidR="0087011A" w:rsidRDefault="0087011A">
      <w:pPr>
        <w:pStyle w:val="BULLETA"/>
      </w:pPr>
      <w:r>
        <w:rPr>
          <w:b/>
          <w:sz w:val="26"/>
        </w:rPr>
        <w:t xml:space="preserve">  </w:t>
      </w:r>
      <w:r>
        <w:t xml:space="preserve">Windsor Machine </w:t>
      </w:r>
      <w:r w:rsidR="00F90555">
        <w:t>&amp; Stamping (2009) Ltd</w:t>
      </w:r>
      <w:r>
        <w:t xml:space="preserve"> scope of operation is the warehousing and distribution of wire products, linkages and related assemblies for the automotive industry.</w:t>
      </w:r>
    </w:p>
    <w:p w:rsidR="0087011A" w:rsidRDefault="00F90555">
      <w:pPr>
        <w:pStyle w:val="Heading1"/>
        <w:rPr>
          <w:sz w:val="24"/>
        </w:rPr>
      </w:pPr>
      <w:r>
        <w:t>Windsor Machine &amp; Stamping (2009) Ltd</w:t>
      </w:r>
      <w:r w:rsidR="0087011A">
        <w:rPr>
          <w:sz w:val="24"/>
        </w:rPr>
        <w:t>. will be a responsible Environmental Steward. We commit to the following Guiding Principles:</w:t>
      </w:r>
    </w:p>
    <w:p w:rsidR="0087011A" w:rsidRDefault="0087011A"/>
    <w:p w:rsidR="0087011A" w:rsidRDefault="0087011A">
      <w:pPr>
        <w:numPr>
          <w:ilvl w:val="0"/>
          <w:numId w:val="1"/>
        </w:numPr>
        <w:ind w:right="1278"/>
        <w:rPr>
          <w:b/>
        </w:rPr>
      </w:pPr>
      <w:r>
        <w:rPr>
          <w:rFonts w:ascii="Wide Latin" w:hAnsi="Wide Latin"/>
          <w:b/>
          <w:sz w:val="48"/>
        </w:rPr>
        <w:t>F</w:t>
      </w:r>
      <w:r>
        <w:rPr>
          <w:b/>
        </w:rPr>
        <w:t>ollow the environmental laws, regulations  and other requirements;</w:t>
      </w:r>
    </w:p>
    <w:p w:rsidR="0087011A" w:rsidRDefault="0087011A">
      <w:pPr>
        <w:ind w:left="1440" w:right="1278" w:firstLine="360"/>
        <w:rPr>
          <w:b/>
        </w:rPr>
      </w:pPr>
    </w:p>
    <w:p w:rsidR="0087011A" w:rsidRDefault="0087011A">
      <w:pPr>
        <w:numPr>
          <w:ilvl w:val="0"/>
          <w:numId w:val="1"/>
        </w:numPr>
        <w:ind w:right="1278"/>
        <w:rPr>
          <w:b/>
        </w:rPr>
      </w:pPr>
      <w:r>
        <w:rPr>
          <w:rFonts w:ascii="Wide Latin" w:hAnsi="Wide Latin"/>
          <w:b/>
          <w:sz w:val="48"/>
        </w:rPr>
        <w:t>U</w:t>
      </w:r>
      <w:r>
        <w:rPr>
          <w:b/>
        </w:rPr>
        <w:t>se environmentally beneficial products and services to reduce pollution and continually improve our products.</w:t>
      </w:r>
    </w:p>
    <w:p w:rsidR="0087011A" w:rsidRDefault="0087011A">
      <w:pPr>
        <w:numPr>
          <w:ilvl w:val="12"/>
          <w:numId w:val="0"/>
        </w:numPr>
        <w:ind w:right="1278"/>
        <w:rPr>
          <w:b/>
        </w:rPr>
      </w:pPr>
    </w:p>
    <w:p w:rsidR="0087011A" w:rsidRDefault="0087011A">
      <w:pPr>
        <w:numPr>
          <w:ilvl w:val="0"/>
          <w:numId w:val="1"/>
        </w:numPr>
        <w:ind w:right="1278"/>
        <w:rPr>
          <w:b/>
        </w:rPr>
      </w:pPr>
      <w:r>
        <w:rPr>
          <w:rFonts w:ascii="Wide Latin" w:hAnsi="Wide Latin"/>
          <w:b/>
          <w:sz w:val="48"/>
        </w:rPr>
        <w:t>T</w:t>
      </w:r>
      <w:r>
        <w:rPr>
          <w:b/>
        </w:rPr>
        <w:t>each environmental ethic to our employees and consider the environment in our daily activities through an effective environmental management system</w:t>
      </w:r>
    </w:p>
    <w:p w:rsidR="0087011A" w:rsidRDefault="0087011A">
      <w:pPr>
        <w:numPr>
          <w:ilvl w:val="12"/>
          <w:numId w:val="0"/>
        </w:numPr>
        <w:ind w:left="1440" w:right="1278"/>
        <w:rPr>
          <w:b/>
        </w:rPr>
      </w:pPr>
    </w:p>
    <w:p w:rsidR="0087011A" w:rsidRDefault="0087011A">
      <w:pPr>
        <w:numPr>
          <w:ilvl w:val="0"/>
          <w:numId w:val="1"/>
        </w:numPr>
        <w:ind w:right="1278"/>
        <w:rPr>
          <w:b/>
        </w:rPr>
      </w:pPr>
      <w:r>
        <w:rPr>
          <w:rFonts w:ascii="Wide Latin" w:hAnsi="Wide Latin"/>
          <w:b/>
          <w:sz w:val="48"/>
        </w:rPr>
        <w:t>U</w:t>
      </w:r>
      <w:r>
        <w:rPr>
          <w:b/>
        </w:rPr>
        <w:t>tilize natural resources in a responsible manner;</w:t>
      </w:r>
    </w:p>
    <w:p w:rsidR="0087011A" w:rsidRDefault="0087011A">
      <w:pPr>
        <w:numPr>
          <w:ilvl w:val="12"/>
          <w:numId w:val="0"/>
        </w:numPr>
        <w:ind w:right="1278"/>
        <w:rPr>
          <w:b/>
        </w:rPr>
      </w:pPr>
    </w:p>
    <w:p w:rsidR="0087011A" w:rsidRDefault="0087011A">
      <w:pPr>
        <w:numPr>
          <w:ilvl w:val="0"/>
          <w:numId w:val="1"/>
        </w:numPr>
        <w:ind w:right="1278"/>
        <w:rPr>
          <w:b/>
        </w:rPr>
      </w:pPr>
      <w:r>
        <w:rPr>
          <w:rFonts w:ascii="Wide Latin" w:hAnsi="Wide Latin"/>
          <w:b/>
          <w:sz w:val="48"/>
        </w:rPr>
        <w:t>R</w:t>
      </w:r>
      <w:r>
        <w:rPr>
          <w:b/>
        </w:rPr>
        <w:t>esponsibly work with customers on mutual environmental concerns;</w:t>
      </w:r>
    </w:p>
    <w:p w:rsidR="0087011A" w:rsidRDefault="0087011A">
      <w:pPr>
        <w:numPr>
          <w:ilvl w:val="12"/>
          <w:numId w:val="0"/>
        </w:numPr>
        <w:ind w:right="1278"/>
        <w:rPr>
          <w:b/>
        </w:rPr>
      </w:pPr>
    </w:p>
    <w:p w:rsidR="0087011A" w:rsidRDefault="0087011A">
      <w:pPr>
        <w:numPr>
          <w:ilvl w:val="0"/>
          <w:numId w:val="1"/>
        </w:numPr>
        <w:ind w:right="1278"/>
        <w:rPr>
          <w:b/>
        </w:rPr>
      </w:pPr>
      <w:r>
        <w:rPr>
          <w:rFonts w:ascii="Wide Latin" w:hAnsi="Wide Latin"/>
          <w:b/>
          <w:sz w:val="48"/>
        </w:rPr>
        <w:t>E</w:t>
      </w:r>
      <w:r>
        <w:rPr>
          <w:b/>
        </w:rPr>
        <w:t>valuate our progress in meeting the environmental objectives and targets that have been selected.</w:t>
      </w:r>
    </w:p>
    <w:p w:rsidR="0087011A" w:rsidRDefault="0087011A"/>
    <w:p w:rsidR="0087011A" w:rsidRDefault="0087011A"/>
    <w:p w:rsidR="0087011A" w:rsidRDefault="0087011A"/>
    <w:p w:rsidR="0087011A" w:rsidRDefault="0087011A"/>
    <w:p w:rsidR="0087011A" w:rsidRDefault="0087011A"/>
    <w:p w:rsidR="0087011A" w:rsidRDefault="0087011A"/>
    <w:p w:rsidR="0087011A" w:rsidRDefault="0087011A">
      <w:pPr>
        <w:rPr>
          <w:b/>
          <w:sz w:val="28"/>
        </w:rPr>
      </w:pPr>
      <w:r>
        <w:rPr>
          <w:b/>
        </w:rPr>
        <w:lastRenderedPageBreak/>
        <w:t xml:space="preserve">ALL PAGES TO THE QUALITY MANUAL ARE </w:t>
      </w:r>
      <w:r>
        <w:rPr>
          <w:b/>
          <w:color w:val="FF0000"/>
        </w:rPr>
        <w:t>UNCONTROLLED IF PRINTED</w:t>
      </w:r>
      <w:r>
        <w:rPr>
          <w:b/>
        </w:rPr>
        <w:t>.</w:t>
      </w:r>
      <w:r>
        <w:rPr>
          <w:b/>
          <w:sz w:val="28"/>
        </w:rPr>
        <w:t xml:space="preserve"> </w:t>
      </w:r>
    </w:p>
    <w:sectPr w:rsidR="0087011A">
      <w:headerReference w:type="default" r:id="rId7"/>
      <w:footerReference w:type="default" r:id="rId8"/>
      <w:pgSz w:w="12242" w:h="15842"/>
      <w:pgMar w:top="1440" w:right="720" w:bottom="1440" w:left="720" w:header="720" w:footer="10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A04" w:rsidRDefault="000E5A04">
      <w:r>
        <w:separator/>
      </w:r>
    </w:p>
  </w:endnote>
  <w:endnote w:type="continuationSeparator" w:id="0">
    <w:p w:rsidR="000E5A04" w:rsidRDefault="000E5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1A" w:rsidRDefault="0087011A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A04" w:rsidRDefault="000E5A04">
      <w:r>
        <w:separator/>
      </w:r>
    </w:p>
  </w:footnote>
  <w:footnote w:type="continuationSeparator" w:id="0">
    <w:p w:rsidR="000E5A04" w:rsidRDefault="000E5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49" w:type="dxa"/>
      <w:tblLayout w:type="fixed"/>
      <w:tblCellMar>
        <w:left w:w="149" w:type="dxa"/>
        <w:right w:w="149" w:type="dxa"/>
      </w:tblCellMar>
      <w:tblLook w:val="0000"/>
    </w:tblPr>
    <w:tblGrid>
      <w:gridCol w:w="2340"/>
      <w:gridCol w:w="3060"/>
      <w:gridCol w:w="5400"/>
    </w:tblGrid>
    <w:tr w:rsidR="0087011A">
      <w:tblPrEx>
        <w:tblCellMar>
          <w:top w:w="0" w:type="dxa"/>
          <w:bottom w:w="0" w:type="dxa"/>
        </w:tblCellMar>
      </w:tblPrEx>
      <w:tc>
        <w:tcPr>
          <w:tcW w:w="2340" w:type="dxa"/>
          <w:tcBorders>
            <w:top w:val="double" w:sz="6" w:space="0" w:color="000000"/>
            <w:left w:val="double" w:sz="6" w:space="0" w:color="000000"/>
          </w:tcBorders>
        </w:tcPr>
        <w:p w:rsidR="0087011A" w:rsidRDefault="0087011A">
          <w:pPr>
            <w:pStyle w:val="Heading2"/>
          </w:pPr>
          <w:r>
            <w:t>WINDSOR MACHINE GROUP</w:t>
          </w:r>
        </w:p>
        <w:p w:rsidR="0087011A" w:rsidRDefault="0087011A">
          <w:pPr>
            <w:tabs>
              <w:tab w:val="center" w:pos="1783"/>
            </w:tabs>
            <w:spacing w:after="54"/>
          </w:pPr>
          <w:r>
            <w:rPr>
              <w:b/>
            </w:rPr>
            <w:tab/>
            <w:t xml:space="preserve">                         </w:t>
          </w:r>
        </w:p>
      </w:tc>
      <w:tc>
        <w:tcPr>
          <w:tcW w:w="3060" w:type="dxa"/>
          <w:tcBorders>
            <w:top w:val="double" w:sz="6" w:space="0" w:color="000000"/>
            <w:left w:val="double" w:sz="6" w:space="0" w:color="000000"/>
          </w:tcBorders>
        </w:tcPr>
        <w:p w:rsidR="0087011A" w:rsidRDefault="0087011A">
          <w:pPr>
            <w:spacing w:after="54"/>
            <w:jc w:val="center"/>
            <w:rPr>
              <w:b/>
            </w:rPr>
          </w:pPr>
          <w:r>
            <w:rPr>
              <w:b/>
            </w:rPr>
            <w:t xml:space="preserve">   </w:t>
          </w:r>
        </w:p>
        <w:p w:rsidR="0087011A" w:rsidRDefault="0087011A">
          <w:pPr>
            <w:spacing w:after="54"/>
            <w:jc w:val="center"/>
          </w:pPr>
          <w:r>
            <w:rPr>
              <w:b/>
            </w:rPr>
            <w:t>QUALITY / ENVIRONMENTAL POLICY</w:t>
          </w:r>
        </w:p>
      </w:tc>
      <w:tc>
        <w:tcPr>
          <w:tcW w:w="5400" w:type="dxa"/>
          <w:tcBorders>
            <w:top w:val="double" w:sz="6" w:space="0" w:color="000000"/>
            <w:left w:val="double" w:sz="6" w:space="0" w:color="000000"/>
            <w:right w:val="double" w:sz="6" w:space="0" w:color="000000"/>
          </w:tcBorders>
        </w:tcPr>
        <w:p w:rsidR="0087011A" w:rsidRDefault="0087011A">
          <w:pPr>
            <w:spacing w:after="54"/>
            <w:rPr>
              <w:b/>
              <w:sz w:val="22"/>
            </w:rPr>
          </w:pPr>
        </w:p>
        <w:p w:rsidR="0087011A" w:rsidRDefault="0087011A">
          <w:pPr>
            <w:spacing w:after="54"/>
            <w:rPr>
              <w:b/>
              <w:sz w:val="22"/>
            </w:rPr>
          </w:pPr>
          <w:r>
            <w:rPr>
              <w:b/>
              <w:sz w:val="22"/>
            </w:rPr>
            <w:t>CLAUSE 1 – SCOPE</w:t>
          </w:r>
        </w:p>
        <w:p w:rsidR="0087011A" w:rsidRDefault="0087011A">
          <w:pPr>
            <w:spacing w:after="54"/>
          </w:pPr>
        </w:p>
      </w:tc>
    </w:tr>
    <w:tr w:rsidR="0087011A">
      <w:tblPrEx>
        <w:tblCellMar>
          <w:top w:w="0" w:type="dxa"/>
          <w:bottom w:w="0" w:type="dxa"/>
        </w:tblCellMar>
      </w:tblPrEx>
      <w:tc>
        <w:tcPr>
          <w:tcW w:w="10800" w:type="dxa"/>
          <w:gridSpan w:val="3"/>
          <w:tcBorders>
            <w:top w:val="double" w:sz="6" w:space="0" w:color="000000"/>
            <w:left w:val="double" w:sz="6" w:space="0" w:color="000000"/>
            <w:right w:val="double" w:sz="6" w:space="0" w:color="000000"/>
          </w:tcBorders>
        </w:tcPr>
        <w:p w:rsidR="0087011A" w:rsidRDefault="00934D98" w:rsidP="008B2BA6">
          <w:pPr>
            <w:spacing w:after="54"/>
            <w:rPr>
              <w:b/>
              <w:sz w:val="20"/>
            </w:rPr>
          </w:pPr>
          <w:r>
            <w:rPr>
              <w:b/>
              <w:sz w:val="20"/>
            </w:rPr>
            <w:t>REV: 05</w:t>
          </w:r>
          <w:r w:rsidR="0087011A">
            <w:rPr>
              <w:b/>
              <w:sz w:val="20"/>
            </w:rPr>
            <w:t xml:space="preserve">                                EFFECTIVE DATE:  </w:t>
          </w:r>
          <w:r>
            <w:rPr>
              <w:b/>
              <w:sz w:val="20"/>
            </w:rPr>
            <w:t>June 18, 2011</w:t>
          </w:r>
          <w:r w:rsidR="0087011A">
            <w:rPr>
              <w:b/>
              <w:sz w:val="20"/>
            </w:rPr>
            <w:t xml:space="preserve">                                    PG </w:t>
          </w:r>
          <w:r w:rsidR="0087011A">
            <w:rPr>
              <w:rStyle w:val="PageNumber"/>
              <w:b/>
              <w:sz w:val="20"/>
            </w:rPr>
            <w:fldChar w:fldCharType="begin"/>
          </w:r>
          <w:r w:rsidR="0087011A">
            <w:rPr>
              <w:rStyle w:val="PageNumber"/>
              <w:b/>
              <w:sz w:val="20"/>
            </w:rPr>
            <w:instrText xml:space="preserve"> PAGE </w:instrText>
          </w:r>
          <w:r w:rsidR="0087011A">
            <w:rPr>
              <w:rStyle w:val="PageNumber"/>
              <w:b/>
              <w:sz w:val="20"/>
            </w:rPr>
            <w:fldChar w:fldCharType="separate"/>
          </w:r>
          <w:r w:rsidR="00473C59">
            <w:rPr>
              <w:rStyle w:val="PageNumber"/>
              <w:b/>
              <w:noProof/>
              <w:sz w:val="20"/>
            </w:rPr>
            <w:t>1</w:t>
          </w:r>
          <w:r w:rsidR="0087011A">
            <w:rPr>
              <w:rStyle w:val="PageNumber"/>
              <w:b/>
              <w:sz w:val="20"/>
            </w:rPr>
            <w:fldChar w:fldCharType="end"/>
          </w:r>
          <w:r w:rsidR="0087011A">
            <w:rPr>
              <w:b/>
              <w:sz w:val="20"/>
            </w:rPr>
            <w:t xml:space="preserve"> OF 2</w:t>
          </w:r>
        </w:p>
      </w:tc>
    </w:tr>
    <w:tr w:rsidR="0087011A">
      <w:tblPrEx>
        <w:tblCellMar>
          <w:top w:w="0" w:type="dxa"/>
          <w:bottom w:w="0" w:type="dxa"/>
        </w:tblCellMar>
      </w:tblPrEx>
      <w:tc>
        <w:tcPr>
          <w:tcW w:w="10800" w:type="dxa"/>
          <w:gridSpan w:val="3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cBorders>
        </w:tcPr>
        <w:p w:rsidR="0087011A" w:rsidRDefault="0087011A">
          <w:pPr>
            <w:spacing w:after="54"/>
            <w:rPr>
              <w:b/>
              <w:sz w:val="20"/>
            </w:rPr>
          </w:pPr>
          <w:r>
            <w:rPr>
              <w:b/>
              <w:sz w:val="20"/>
            </w:rPr>
            <w:t xml:space="preserve">REVIEWED BY: </w:t>
          </w:r>
          <w:r w:rsidR="00DC0D67">
            <w:rPr>
              <w:b/>
              <w:sz w:val="20"/>
            </w:rPr>
            <w:t xml:space="preserve">   Phil Fairley              </w:t>
          </w:r>
          <w:r>
            <w:rPr>
              <w:b/>
              <w:sz w:val="20"/>
            </w:rPr>
            <w:t xml:space="preserve">                                                               </w:t>
          </w:r>
          <w:r w:rsidR="00DC0D67">
            <w:rPr>
              <w:b/>
              <w:sz w:val="20"/>
            </w:rPr>
            <w:t xml:space="preserve">      APPROVED BY:</w:t>
          </w:r>
          <w:r w:rsidR="00934D98">
            <w:rPr>
              <w:b/>
              <w:sz w:val="20"/>
            </w:rPr>
            <w:t xml:space="preserve">  John Little.</w:t>
          </w:r>
        </w:p>
      </w:tc>
    </w:tr>
  </w:tbl>
  <w:p w:rsidR="0087011A" w:rsidRDefault="0087011A">
    <w:pPr>
      <w:keepNext/>
      <w:widowControl w:val="0"/>
      <w:autoSpaceDE w:val="0"/>
      <w:autoSpaceDN w:val="0"/>
      <w:adjustRightInd w:val="0"/>
      <w:spacing w:before="148" w:line="400" w:lineRule="atLeas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953D83"/>
    <w:rsid w:val="00043002"/>
    <w:rsid w:val="00065E59"/>
    <w:rsid w:val="000764B0"/>
    <w:rsid w:val="000E5A04"/>
    <w:rsid w:val="0040761D"/>
    <w:rsid w:val="00473C59"/>
    <w:rsid w:val="0087011A"/>
    <w:rsid w:val="008B2BA6"/>
    <w:rsid w:val="00934D98"/>
    <w:rsid w:val="00953D83"/>
    <w:rsid w:val="009F738C"/>
    <w:rsid w:val="00DC0D67"/>
    <w:rsid w:val="00E4079C"/>
    <w:rsid w:val="00F70183"/>
    <w:rsid w:val="00F8493E"/>
    <w:rsid w:val="00F9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170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148" w:line="400" w:lineRule="exact"/>
      <w:outlineLvl w:val="1"/>
    </w:pPr>
    <w:rPr>
      <w:b/>
      <w:sz w:val="4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ECHEAD">
    <w:name w:val="SEC HEAD"/>
    <w:basedOn w:val="Normal"/>
    <w:next w:val="BULLETA"/>
    <w:pPr>
      <w:keepNext/>
      <w:tabs>
        <w:tab w:val="left" w:pos="1170"/>
      </w:tabs>
      <w:spacing w:before="50" w:after="144" w:line="264" w:lineRule="exact"/>
      <w:ind w:left="1170"/>
    </w:pPr>
    <w:rPr>
      <w:rFonts w:ascii="CG Times (WN)" w:hAnsi="CG Times (WN)"/>
      <w:b/>
      <w:noProof/>
      <w:sz w:val="22"/>
    </w:rPr>
  </w:style>
  <w:style w:type="paragraph" w:customStyle="1" w:styleId="BULLETA">
    <w:name w:val="BULLET A"/>
    <w:basedOn w:val="Normal"/>
    <w:next w:val="Normal"/>
    <w:pPr>
      <w:tabs>
        <w:tab w:val="left" w:pos="720"/>
      </w:tabs>
      <w:spacing w:after="72" w:line="264" w:lineRule="exact"/>
      <w:ind w:left="677" w:hanging="173"/>
    </w:pPr>
    <w:rPr>
      <w:rFonts w:ascii="CG Times (WN)" w:hAnsi="CG Times (WN)"/>
      <w:noProof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 This document details the methods and procedures used by WEGU to address General requirements within the Quality Man</vt:lpstr>
    </vt:vector>
  </TitlesOfParts>
  <Company>Wegu Canada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 This document details the methods and procedures used by WEGU to address General requirements within the Quality Man</dc:title>
  <dc:subject/>
  <dc:creator>Wegu Canada</dc:creator>
  <cp:keywords/>
  <dc:description/>
  <cp:lastModifiedBy>cadd7</cp:lastModifiedBy>
  <cp:revision>2</cp:revision>
  <cp:lastPrinted>2009-06-23T17:37:00Z</cp:lastPrinted>
  <dcterms:created xsi:type="dcterms:W3CDTF">2012-06-18T15:10:00Z</dcterms:created>
  <dcterms:modified xsi:type="dcterms:W3CDTF">2012-06-18T15:10:00Z</dcterms:modified>
</cp:coreProperties>
</file>